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C1FDC">
        <w:tblPrEx>
          <w:tblCellMar>
            <w:top w:w="0" w:type="dxa"/>
            <w:bottom w:w="0" w:type="dxa"/>
          </w:tblCellMar>
        </w:tblPrEx>
        <w:tc>
          <w:tcPr>
            <w:tcW w:w="9360" w:type="dxa"/>
            <w:shd w:val="clear" w:color="auto" w:fill="0D1B40"/>
            <w:tcMar>
              <w:top w:w="280" w:type="dxa"/>
              <w:left w:w="400" w:type="dxa"/>
              <w:bottom w:w="280" w:type="dxa"/>
              <w:right w:w="400" w:type="dxa"/>
            </w:tcMar>
          </w:tcPr>
          <w:p w:rsidR="004C1FDC" w:rsidRDefault="00000000">
            <w:r>
              <w:rPr>
                <w:rFonts w:ascii="Calibri" w:eastAsia="Calibri" w:hAnsi="Calibri" w:cs="Calibri"/>
                <w:b/>
                <w:bCs/>
                <w:color w:val="0D9488"/>
                <w:spacing w:val="100"/>
                <w:sz w:val="18"/>
                <w:szCs w:val="18"/>
              </w:rPr>
              <w:t>EXECUTIVE PRIMER</w:t>
            </w:r>
          </w:p>
          <w:p w:rsidR="004C1FDC" w:rsidRDefault="00000000">
            <w:pPr>
              <w:spacing w:before="60" w:after="60"/>
            </w:pPr>
            <w:r>
              <w:rPr>
                <w:rFonts w:ascii="Calibri" w:eastAsia="Calibri" w:hAnsi="Calibri" w:cs="Calibri"/>
                <w:b/>
                <w:bCs/>
                <w:color w:val="FFFFFF"/>
                <w:sz w:val="48"/>
                <w:szCs w:val="48"/>
              </w:rPr>
              <w:t>The Marketing AI Glossary</w:t>
            </w:r>
          </w:p>
          <w:p w:rsidR="004C1FDC" w:rsidRDefault="00000000">
            <w:r>
              <w:rPr>
                <w:rFonts w:ascii="Calibri" w:eastAsia="Calibri" w:hAnsi="Calibri" w:cs="Calibri"/>
                <w:color w:val="7DD3FC"/>
              </w:rPr>
              <w:t>41 Essential Terms Every Marketing Executive Should Know  ·  Timothy Peterson</w:t>
            </w:r>
          </w:p>
        </w:tc>
      </w:tr>
    </w:tbl>
    <w:p w:rsidR="004C1FDC" w:rsidRDefault="004C1FDC">
      <w:pPr>
        <w:spacing w:after="200"/>
      </w:pPr>
    </w:p>
    <w:p w:rsidR="004C1FDC" w:rsidRDefault="00000000">
      <w:pPr>
        <w:spacing w:after="120"/>
      </w:pPr>
      <w:r>
        <w:rPr>
          <w:rFonts w:ascii="Calibri" w:eastAsia="Calibri" w:hAnsi="Calibri" w:cs="Calibri"/>
          <w:b/>
          <w:bCs/>
          <w:color w:val="0D1B40"/>
          <w:sz w:val="26"/>
          <w:szCs w:val="26"/>
        </w:rPr>
        <w:t>How to Use This Glossary</w:t>
      </w:r>
    </w:p>
    <w:p w:rsidR="004C1FDC" w:rsidRDefault="00000000">
      <w:pPr>
        <w:spacing w:after="100"/>
      </w:pPr>
      <w:r>
        <w:rPr>
          <w:rFonts w:ascii="Calibri" w:eastAsia="Calibri" w:hAnsi="Calibri" w:cs="Calibri"/>
          <w:color w:val="1E293B"/>
          <w:sz w:val="22"/>
          <w:szCs w:val="22"/>
        </w:rPr>
        <w:t>This reference guide covers the 41 most important AI and marketing technology terms covered in the Executive Primer workshop. Terms are presented in the order they are introduced during the session. Use this glossary to brief your team, evaluate vendor claims, and build shared language across marketing, IT, legal, and finance stakeholders.</w:t>
      </w:r>
    </w:p>
    <w:p w:rsidR="004C1FDC" w:rsidRDefault="004C1FD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2200"/>
        <w:gridCol w:w="6680"/>
      </w:tblGrid>
      <w:tr w:rsidR="004C1FDC">
        <w:tblPrEx>
          <w:tblCellMar>
            <w:top w:w="0" w:type="dxa"/>
            <w:bottom w:w="0" w:type="dxa"/>
          </w:tblCellMar>
        </w:tblPrEx>
        <w:trPr>
          <w:tblHeader/>
        </w:trPr>
        <w:tc>
          <w:tcPr>
            <w:tcW w:w="480" w:type="dxa"/>
            <w:shd w:val="clear" w:color="auto" w:fill="0D1B40"/>
            <w:tcMar>
              <w:top w:w="100" w:type="dxa"/>
              <w:left w:w="100" w:type="dxa"/>
              <w:bottom w:w="100" w:type="dxa"/>
              <w:right w:w="80" w:type="dxa"/>
            </w:tcMar>
          </w:tcPr>
          <w:p w:rsidR="004C1FDC" w:rsidRDefault="00000000">
            <w:pPr>
              <w:jc w:val="center"/>
            </w:pPr>
            <w:r>
              <w:rPr>
                <w:rFonts w:ascii="Calibri" w:eastAsia="Calibri" w:hAnsi="Calibri" w:cs="Calibri"/>
                <w:b/>
                <w:bCs/>
                <w:color w:val="FFFFFF"/>
              </w:rPr>
              <w:t>#</w:t>
            </w:r>
          </w:p>
        </w:tc>
        <w:tc>
          <w:tcPr>
            <w:tcW w:w="2200" w:type="dxa"/>
            <w:shd w:val="clear" w:color="auto" w:fill="0D1B40"/>
            <w:tcMar>
              <w:top w:w="100" w:type="dxa"/>
              <w:left w:w="140" w:type="dxa"/>
              <w:bottom w:w="100" w:type="dxa"/>
              <w:right w:w="100" w:type="dxa"/>
            </w:tcMar>
          </w:tcPr>
          <w:p w:rsidR="004C1FDC" w:rsidRDefault="00000000">
            <w:r>
              <w:rPr>
                <w:rFonts w:ascii="Calibri" w:eastAsia="Calibri" w:hAnsi="Calibri" w:cs="Calibri"/>
                <w:b/>
                <w:bCs/>
                <w:color w:val="FFFFFF"/>
              </w:rPr>
              <w:t>Term</w:t>
            </w:r>
          </w:p>
        </w:tc>
        <w:tc>
          <w:tcPr>
            <w:tcW w:w="6680" w:type="dxa"/>
            <w:shd w:val="clear" w:color="auto" w:fill="0D1B40"/>
            <w:tcMar>
              <w:top w:w="100" w:type="dxa"/>
              <w:left w:w="140" w:type="dxa"/>
              <w:bottom w:w="100" w:type="dxa"/>
              <w:right w:w="120" w:type="dxa"/>
            </w:tcMar>
          </w:tcPr>
          <w:p w:rsidR="004C1FDC" w:rsidRDefault="00000000">
            <w:r>
              <w:rPr>
                <w:rFonts w:ascii="Calibri" w:eastAsia="Calibri" w:hAnsi="Calibri" w:cs="Calibri"/>
                <w:b/>
                <w:bCs/>
                <w:color w:val="FFFFFF"/>
              </w:rPr>
              <w:t>Definition</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AI (Artificial Intelligence)</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Systems that perform tasks usually requiring human intelligence — such as understanding language, recognizing images, and making decisions. AI is a broad umbrella term covering dozens of sub-disciplines, from rule-based expert systems to modern neural networks.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Machine Learning (ML)</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 subset of AI where algorithms improve their performance automatically through exposure to data, without being explicitly programmed for every scenario. ML is the engine behind most practical AI applications in marketing today.</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Generative AI (GenAI)</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category of AI that creates new content — text, images, audio, video, and code — rather than simply classifying or analyzing existing data. Powered by models like GPT-4 and DALL-E, it is the most immediately actionable branch of AI for marketing teams.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4</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LLM (Large Language Model)</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 neural network trained on massive volumes of text data (books, websites, code, research) to understand and generate human language. Examples include GPT-4 (OpenAI), Claude (Anthropic), and Gemini (Google). The "large" refers to hundreds of billions of parameters.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5</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NLP (Natural Language Processing)</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AI's ability to understand, interpret, and generate human language. NLP powers chatbots, sentiment analysis tools, SEO content optimization platforms, and the conversational capabilities of every major AI assistant.</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6</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Predictive Analytics</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Using historical data and statistical models to forecast future outcomes. In marketing, predictive analytics powers churn prediction, customer lifetime value modeling, lead scoring, and campaign performance forecasting.</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7</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Algorithm</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defined set of rules, instructions, or mathematical operations that an AI system follows to process input data and produce output. Marketing algorithms govern everything from ad bidding to content recommendations to fraud detection.</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8</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Neural Networks</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Computing systems loosely inspired by the structure of the human brain, consisting of interconnected layers of mathematical "nodes" that process and transform data. Neural networks are the foundational architecture behind deep learning and modern AI.</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lastRenderedPageBreak/>
              <w:t>9</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Deep Learning</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subset of Machine Learning that uses multi-layered neural networks to learn complex patterns from large datasets. Deep learning enables capabilities like image recognition, natural language understanding, and generative content creation.</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10</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Prompt Engineering</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The practice of crafting precise, structured inputs (prompts) to elicit the best possible output from a generative AI model. Effective prompt engineering uses role assignment, task specification, contextual detail, and format instructions.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11</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Hyper-Personalization</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The real-time customization of content, offers, and experiences for individual users based on their specific behavioral signals, preferences, and context — going far beyond traditional demographic or firmographic segmentation.</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12</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Chatbot</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An AI system designed to simulate human conversation via text or voice. Modern LLM-powered chatbots can understand nuanced natural language, maintain conversational context, and resolve complex customer inquiries with near-human quality.</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13</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Computer Vision</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AI's ability to interpret, analyze, and act on visual data — images, video, and live camera feeds. Applications in marketing include facial recognition (with consent), in-store heat mapping, visual search, and AI-powered product try-on tools.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14</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Data Mining</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The process of examining large datasets using statistical and AI techniques to discover previously hidden patterns, correlations, and actionable insights. Essential for customer segmentation, propensity modeling, and market basket analysis.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15</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Sentiment Analysis</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Using NLP and AI to identify and quantify the emotional tone of text — positive, negative, or neutral — at scale. Marketing applications include brand health monitoring, social listening, review analysis, and customer satisfaction tracking.</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16</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Churn Prediction</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 machine learning model that analyzes behavioral signals to identify customers who are at risk of cancelling a subscription or discontinuing their relationship with a brand — enabling proactive retention intervention before the loss occurs.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17</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Dynamic Pricing</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AI-driven price optimization that adjusts product or service prices in real time based on demand signals, competitor pricing, customer segment, inventory levels, and behavioral data. Used extensively in e-commerce, travel, and retail.</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18</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A/B Testing (AI-driven)</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Automated multivariate testing that uses machine learning to generate content or creative variations, allocate traffic intelligently, reach statistical significance faster, and continuously optimize toward defined business outcomes.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19</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Zero-Party Data</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Data that a customer intentionally and proactively shares with a brand — such as survey responses, preference settings, or quiz results. Considered the highest-quality and most privacy-safe data type because the customer explicitly consents to its use.</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20</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First-Party Data</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Behavioral and transactional data collected directly by your organization from your own audience — website analytics, CRM records, email engagement, purchase history. Your most valuable data asset for AI-powered personalization and modeling.</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lastRenderedPageBreak/>
              <w:t>21</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Hallucination</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phenomenon where an AI model generates content that is factually incorrect, fabricated, or nonsensical — but presents it with complete confidence and no uncertainty indicators. A critical risk to manage in any marketing AI workflow that involves factual claims.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22</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Bias (Algorithmic)</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Systematic errors in AI model outputs that arise from biased or unrepresentative training data or flawed model design. Algorithmic bias can result in discriminatory targeting, unfair pricing, or content that reinforces harmful stereotypes.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23</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Black Box AI</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An AI system whose internal decision-making logic is opaque — users can see the inputs and outputs but not the reasoning process in between. Contrasts with Explainable AI. Presents challenges for accountability, regulatory compliance, and trust.</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24</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Explainable AI (XAI)</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AI systems designed to make their decision-making process transparent and understandable to human users. Increasingly required by regulators for high-stakes applications in credit, healthcare, hiring, and law enforcement.</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25</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Human-in-the-Loop (HITL)</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design principle where human review, judgment, or approval is built into an AI-powered workflow at defined checkpoints. Essential for maintaining quality, brand safety, regulatory compliance, and ethical accountability in AI-generated outputs.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26</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API (Application Programming Interface)</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 software bridge that allows different applications to communicate with each other. In AI contexts, APIs allow marketing platforms to send data to AI models and receive outputs — enabling AI capabilities to be embedded directly into existing marketing tools.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27</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Token</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The basic unit of text that an LLM processes, approximately equivalent to 4 characters or 0.75 words. Tokens determine both the cost of AI API usage and the amount of information that can be processed in a single session (context window).</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28</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Fine-Tuning</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The process of taking a pre-trained AI model and continuing its training on a smaller, domain-specific dataset to improve its performance on particular tasks or to embed a specific brand voice, terminology, or knowledge base.</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29</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Context Window</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The maximum amount of text (measured in tokens) that an AI model can process and 'remember' within a single session. Larger context windows allow AI to analyze longer documents, maintain coherent multi-turn conversations, and process more data simultaneously.</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30</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Reinforcement Learning</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 machine learning approach where an AI agent learns by taking actions in an environment and receiving reward or penalty signals based on the outcomes. Used to train AI systems to optimize for long-term goals rather than immediate outputs.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31</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Synthetic Data</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Artificially generated data that statistically mimics the properties of real-world data, used to train AI models when real data is scarce, sensitive, or subject to privacy restrictions. Increasingly important in healthcare, financial services, and regulated industries.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32</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Propensity Modeling</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 xml:space="preserve">A machine learning technique that calculates the statistical probability of a specific customer taking a specific action — such as making a purchase, </w:t>
            </w:r>
            <w:r>
              <w:rPr>
                <w:rFonts w:ascii="Calibri" w:eastAsia="Calibri" w:hAnsi="Calibri" w:cs="Calibri"/>
                <w:color w:val="1E293B"/>
              </w:rPr>
              <w:lastRenderedPageBreak/>
              <w:t>responding to an offer, or cancelling a subscription — enabling prioritized marketing intervention.</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lastRenderedPageBreak/>
              <w:t>33</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Vector Database</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specialized type of database that stores data as high-dimensional vectors (numerical representations of meaning), enabling AI to find semantically related concepts quickly. Essential infrastructure for RAG (Retrieval-Augmented Generation) applications.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34</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Multi-Modal AI</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AI systems capable of processing and generating multiple types of data simultaneously — text, images, audio, video, and code — within a single model. GPT-4o and Gemini Ultra are examples. Enables richer, more context-aware marketing applications.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35</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Edge AI</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AI processing that occurs locally on a device (smartphone, smart display, in-store kiosk) rather than in the cloud. Enables real-time AI responses with lower latency, reduced data transmission costs, and stronger privacy protections.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36</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Recommendation Engine</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An AI system that analyzes behavioral and preference data to suggest relevant products, content, or actions to individual users. The backbone of Amazon product suggestions, Netflix content recommendations, and Spotify playlist generation.</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37</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Lead Scoring</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An AI model that assigns a numerical score to each sales prospect based on their likelihood to convert, factoring in demographic data, firmographic data, behavioral signals, and CRM engagement history to prioritize sales team outreach.</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38</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Programmatic Advertising</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The automated buying, selling, and optimization of digital advertising inventory using AI-powered algorithms and real-time bidding systems. Encompasses display, video, connected TV, audio, and increasingly digital out-of-home advertising.</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39</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Content Velocity</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The rate at which a marketing team can produce, publish, and distribute content — dramatically accelerated by Generative AI tools. Brands using AI-assisted content workflows report 3–5x increases in content output with equivalent headcount.</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40</w:t>
            </w:r>
          </w:p>
        </w:tc>
        <w:tc>
          <w:tcPr>
            <w:tcW w:w="2200" w:type="dxa"/>
            <w:tcBorders>
              <w:left w:val="single" w:sz="4" w:space="0" w:color="0D9488"/>
              <w:bottom w:val="single" w:sz="2" w:space="0" w:color="D1D5DB"/>
            </w:tcBorders>
            <w:shd w:val="clear" w:color="auto" w:fill="F8FAFF"/>
            <w:tcMar>
              <w:top w:w="80" w:type="dxa"/>
              <w:left w:w="140" w:type="dxa"/>
              <w:bottom w:w="80" w:type="dxa"/>
              <w:right w:w="100" w:type="dxa"/>
            </w:tcMar>
          </w:tcPr>
          <w:p w:rsidR="004C1FDC" w:rsidRDefault="00000000">
            <w:r>
              <w:rPr>
                <w:rFonts w:ascii="Calibri" w:eastAsia="Calibri" w:hAnsi="Calibri" w:cs="Calibri"/>
                <w:b/>
                <w:bCs/>
                <w:color w:val="0D1B40"/>
              </w:rPr>
              <w:t>Turing Test</w:t>
            </w:r>
          </w:p>
        </w:tc>
        <w:tc>
          <w:tcPr>
            <w:tcW w:w="6680" w:type="dxa"/>
            <w:tcBorders>
              <w:left w:val="single" w:sz="1" w:space="0" w:color="D1D5DB"/>
              <w:bottom w:val="single" w:sz="2" w:space="0" w:color="D1D5DB"/>
            </w:tcBorders>
            <w:shd w:val="clear" w:color="auto" w:fill="FFFFFF"/>
            <w:tcMar>
              <w:top w:w="80" w:type="dxa"/>
              <w:left w:w="140" w:type="dxa"/>
              <w:bottom w:w="80" w:type="dxa"/>
              <w:right w:w="120" w:type="dxa"/>
            </w:tcMar>
          </w:tcPr>
          <w:p w:rsidR="004C1FDC" w:rsidRDefault="00000000">
            <w:r>
              <w:rPr>
                <w:rFonts w:ascii="Calibri" w:eastAsia="Calibri" w:hAnsi="Calibri" w:cs="Calibri"/>
                <w:color w:val="1E293B"/>
              </w:rPr>
              <w:t>A benchmark proposed by Alan Turing in 1950 to evaluate a machine's ability to exhibit intelligent behavior indistinguishable from that of a human, as judged by a human evaluator. A philosophical reference point for discussions of AI capability and consciousness.</w:t>
            </w:r>
          </w:p>
        </w:tc>
      </w:tr>
      <w:tr w:rsidR="004C1FDC">
        <w:tblPrEx>
          <w:tblCellMar>
            <w:top w:w="0" w:type="dxa"/>
            <w:bottom w:w="0" w:type="dxa"/>
          </w:tblCellMar>
        </w:tblPrEx>
        <w:tc>
          <w:tcPr>
            <w:tcW w:w="480" w:type="dxa"/>
            <w:tcBorders>
              <w:bottom w:val="single" w:sz="2" w:space="0" w:color="D1D5DB"/>
            </w:tcBorders>
            <w:shd w:val="clear" w:color="auto" w:fill="0D1B40"/>
            <w:tcMar>
              <w:top w:w="80" w:type="dxa"/>
              <w:left w:w="100" w:type="dxa"/>
              <w:bottom w:w="80" w:type="dxa"/>
              <w:right w:w="80" w:type="dxa"/>
            </w:tcMar>
          </w:tcPr>
          <w:p w:rsidR="004C1FDC" w:rsidRDefault="00000000">
            <w:pPr>
              <w:jc w:val="center"/>
            </w:pPr>
            <w:r>
              <w:rPr>
                <w:rFonts w:ascii="Calibri" w:eastAsia="Calibri" w:hAnsi="Calibri" w:cs="Calibri"/>
                <w:b/>
                <w:bCs/>
                <w:color w:val="0D9488"/>
                <w:sz w:val="18"/>
                <w:szCs w:val="18"/>
              </w:rPr>
              <w:t>41</w:t>
            </w:r>
          </w:p>
        </w:tc>
        <w:tc>
          <w:tcPr>
            <w:tcW w:w="2200" w:type="dxa"/>
            <w:tcBorders>
              <w:left w:val="single" w:sz="4" w:space="0" w:color="0D9488"/>
              <w:bottom w:val="single" w:sz="2" w:space="0" w:color="D1D5DB"/>
            </w:tcBorders>
            <w:shd w:val="clear" w:color="auto" w:fill="EFF6FF"/>
            <w:tcMar>
              <w:top w:w="80" w:type="dxa"/>
              <w:left w:w="140" w:type="dxa"/>
              <w:bottom w:w="80" w:type="dxa"/>
              <w:right w:w="100" w:type="dxa"/>
            </w:tcMar>
          </w:tcPr>
          <w:p w:rsidR="004C1FDC" w:rsidRDefault="00000000">
            <w:r>
              <w:rPr>
                <w:rFonts w:ascii="Calibri" w:eastAsia="Calibri" w:hAnsi="Calibri" w:cs="Calibri"/>
                <w:b/>
                <w:bCs/>
                <w:color w:val="0D1B40"/>
              </w:rPr>
              <w:t>Responsible AI</w:t>
            </w:r>
          </w:p>
        </w:tc>
        <w:tc>
          <w:tcPr>
            <w:tcW w:w="6680" w:type="dxa"/>
            <w:tcBorders>
              <w:left w:val="single" w:sz="1" w:space="0" w:color="D1D5DB"/>
              <w:bottom w:val="single" w:sz="2" w:space="0" w:color="D1D5DB"/>
            </w:tcBorders>
            <w:shd w:val="clear" w:color="auto" w:fill="F0F9FF"/>
            <w:tcMar>
              <w:top w:w="80" w:type="dxa"/>
              <w:left w:w="140" w:type="dxa"/>
              <w:bottom w:w="80" w:type="dxa"/>
              <w:right w:w="120" w:type="dxa"/>
            </w:tcMar>
          </w:tcPr>
          <w:p w:rsidR="004C1FDC" w:rsidRDefault="00000000">
            <w:r>
              <w:rPr>
                <w:rFonts w:ascii="Calibri" w:eastAsia="Calibri" w:hAnsi="Calibri" w:cs="Calibri"/>
                <w:color w:val="1E293B"/>
              </w:rPr>
              <w:t>A framework of principles and practices for developing, deploying, and governing AI systems in ways that are ethical, transparent, fair, accountable, and aligned with human values. Encompasses data privacy, bias mitigation, explainability, and human oversight.</w:t>
            </w:r>
          </w:p>
        </w:tc>
      </w:tr>
    </w:tbl>
    <w:p w:rsidR="004C1FDC" w:rsidRDefault="004C1FDC">
      <w:pPr>
        <w:spacing w:after="200"/>
      </w:pPr>
    </w:p>
    <w:p w:rsidR="004C1FDC" w:rsidRDefault="00000000">
      <w:pPr>
        <w:spacing w:after="80"/>
      </w:pPr>
      <w:r>
        <w:rPr>
          <w:rFonts w:ascii="Calibri" w:eastAsia="Calibri" w:hAnsi="Calibri" w:cs="Calibri"/>
          <w:b/>
          <w:bCs/>
          <w:color w:val="0D1B40"/>
          <w:sz w:val="26"/>
          <w:szCs w:val="26"/>
        </w:rPr>
        <w:t>Additional Terms to Know</w:t>
      </w:r>
    </w:p>
    <w:p w:rsidR="004C1FDC" w:rsidRDefault="00000000">
      <w:pPr>
        <w:spacing w:after="100"/>
      </w:pPr>
      <w:r>
        <w:rPr>
          <w:rFonts w:ascii="Calibri" w:eastAsia="Calibri" w:hAnsi="Calibri" w:cs="Calibri"/>
          <w:color w:val="1E293B"/>
          <w:sz w:val="22"/>
          <w:szCs w:val="22"/>
        </w:rPr>
        <w:t>As AI evolves, the vocabulary expands. Additional terms emerging in 2024–2025 that marketing leaders should monitor include: Agentic AI (autonomous AI that plans and executes multi-step tasks), Retrieval-Augmented Generation (RAG — grounding AI outputs in verified external knowledge), Small Language Models (SLMs — efficient, privacy-safe models for enterprise use), and Model Context Protocol (MCP — an open standard for connecting AI to external data sources and tools).</w:t>
      </w:r>
    </w:p>
    <w:sectPr w:rsidR="004C1FD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D45" w:rsidRDefault="008A3D45">
      <w:r>
        <w:separator/>
      </w:r>
    </w:p>
  </w:endnote>
  <w:endnote w:type="continuationSeparator" w:id="0">
    <w:p w:rsidR="008A3D45" w:rsidRDefault="008A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FDC" w:rsidRDefault="00000000">
    <w:pPr>
      <w:pBdr>
        <w:top w:val="single" w:sz="4" w:space="1" w:color="0D1B40"/>
      </w:pBdr>
      <w:tabs>
        <w:tab w:val="right" w:pos="9026"/>
      </w:tabs>
      <w:spacing w:before="60"/>
    </w:pPr>
    <w:r>
      <w:rPr>
        <w:rFonts w:ascii="Calibri" w:eastAsia="Calibri" w:hAnsi="Calibri" w:cs="Calibri"/>
        <w:color w:val="475569"/>
        <w:sz w:val="16"/>
        <w:szCs w:val="16"/>
      </w:rPr>
      <w:t>Executive Primer: AI 101 for Marketers  ·  Timothy Peterson</w:t>
    </w:r>
    <w:r>
      <w:rPr>
        <w:rFonts w:ascii="Calibri" w:eastAsia="Calibri" w:hAnsi="Calibri" w:cs="Calibri"/>
      </w:rPr>
      <w:tab/>
    </w:r>
    <w:r>
      <w:rPr>
        <w:rFonts w:ascii="Calibri" w:eastAsia="Calibri" w:hAnsi="Calibri" w:cs="Calibri"/>
        <w:color w:val="475569"/>
        <w:sz w:val="16"/>
        <w:szCs w:val="16"/>
      </w:rPr>
      <w:t xml:space="preserve">Page </w:t>
    </w:r>
    <w:r>
      <w:rPr>
        <w:rFonts w:ascii="Calibri" w:eastAsia="Calibri" w:hAnsi="Calibri" w:cs="Calibri"/>
        <w:color w:val="475569"/>
        <w:sz w:val="16"/>
        <w:szCs w:val="16"/>
      </w:rPr>
      <w:fldChar w:fldCharType="begin"/>
    </w:r>
    <w:r>
      <w:rPr>
        <w:rFonts w:ascii="Calibri" w:eastAsia="Calibri" w:hAnsi="Calibri" w:cs="Calibri"/>
        <w:color w:val="475569"/>
        <w:sz w:val="16"/>
        <w:szCs w:val="16"/>
      </w:rPr>
      <w:instrText>PAGE</w:instrText>
    </w:r>
    <w:r>
      <w:rPr>
        <w:rFonts w:ascii="Calibri" w:eastAsia="Calibri" w:hAnsi="Calibri" w:cs="Calibri"/>
        <w:color w:val="475569"/>
        <w:sz w:val="16"/>
        <w:szCs w:val="16"/>
      </w:rPr>
      <w:fldChar w:fldCharType="separate"/>
    </w:r>
    <w:r w:rsidR="0008411C">
      <w:rPr>
        <w:rFonts w:ascii="Calibri" w:eastAsia="Calibri" w:hAnsi="Calibri" w:cs="Calibri"/>
        <w:noProof/>
        <w:color w:val="475569"/>
        <w:sz w:val="16"/>
        <w:szCs w:val="16"/>
      </w:rPr>
      <w:t>1</w:t>
    </w:r>
    <w:r>
      <w:rPr>
        <w:rFonts w:ascii="Calibri" w:eastAsia="Calibri" w:hAnsi="Calibri" w:cs="Calibri"/>
        <w:color w:val="475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D45" w:rsidRDefault="008A3D45">
      <w:r>
        <w:separator/>
      </w:r>
    </w:p>
  </w:footnote>
  <w:footnote w:type="continuationSeparator" w:id="0">
    <w:p w:rsidR="008A3D45" w:rsidRDefault="008A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FDC" w:rsidRDefault="00000000">
    <w:pPr>
      <w:pBdr>
        <w:bottom w:val="single" w:sz="6" w:space="1" w:color="0D9488"/>
      </w:pBdr>
      <w:tabs>
        <w:tab w:val="right" w:pos="9026"/>
      </w:tabs>
      <w:spacing w:after="60"/>
    </w:pPr>
    <w:r>
      <w:rPr>
        <w:rFonts w:ascii="Calibri" w:eastAsia="Calibri" w:hAnsi="Calibri" w:cs="Calibri"/>
        <w:b/>
        <w:bCs/>
        <w:color w:val="0D1B40"/>
        <w:sz w:val="18"/>
        <w:szCs w:val="18"/>
      </w:rPr>
      <w:t>AI Glossary</w:t>
    </w:r>
    <w:r>
      <w:rPr>
        <w:rFonts w:ascii="Calibri" w:eastAsia="Calibri" w:hAnsi="Calibri" w:cs="Calibri"/>
      </w:rPr>
      <w:tab/>
    </w:r>
    <w:r>
      <w:rPr>
        <w:rFonts w:ascii="Calibri" w:eastAsia="Calibri" w:hAnsi="Calibri" w:cs="Calibri"/>
        <w:color w:val="475569"/>
        <w:sz w:val="18"/>
        <w:szCs w:val="18"/>
      </w:rPr>
      <w:t>AI 101 for Marketers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9E7"/>
    <w:multiLevelType w:val="hybridMultilevel"/>
    <w:tmpl w:val="ED046DD0"/>
    <w:lvl w:ilvl="0" w:tplc="4A96EC4C">
      <w:start w:val="1"/>
      <w:numFmt w:val="bullet"/>
      <w:lvlText w:val="●"/>
      <w:lvlJc w:val="left"/>
      <w:pPr>
        <w:ind w:left="720" w:hanging="360"/>
      </w:pPr>
    </w:lvl>
    <w:lvl w:ilvl="1" w:tplc="E872F7E8">
      <w:start w:val="1"/>
      <w:numFmt w:val="bullet"/>
      <w:lvlText w:val="○"/>
      <w:lvlJc w:val="left"/>
      <w:pPr>
        <w:ind w:left="1440" w:hanging="360"/>
      </w:pPr>
    </w:lvl>
    <w:lvl w:ilvl="2" w:tplc="389E9180">
      <w:start w:val="1"/>
      <w:numFmt w:val="bullet"/>
      <w:lvlText w:val="■"/>
      <w:lvlJc w:val="left"/>
      <w:pPr>
        <w:ind w:left="2160" w:hanging="360"/>
      </w:pPr>
    </w:lvl>
    <w:lvl w:ilvl="3" w:tplc="7DB4DF6A">
      <w:start w:val="1"/>
      <w:numFmt w:val="bullet"/>
      <w:lvlText w:val="●"/>
      <w:lvlJc w:val="left"/>
      <w:pPr>
        <w:ind w:left="2880" w:hanging="360"/>
      </w:pPr>
    </w:lvl>
    <w:lvl w:ilvl="4" w:tplc="922620C2">
      <w:start w:val="1"/>
      <w:numFmt w:val="bullet"/>
      <w:lvlText w:val="○"/>
      <w:lvlJc w:val="left"/>
      <w:pPr>
        <w:ind w:left="3600" w:hanging="360"/>
      </w:pPr>
    </w:lvl>
    <w:lvl w:ilvl="5" w:tplc="2E28FE18">
      <w:start w:val="1"/>
      <w:numFmt w:val="bullet"/>
      <w:lvlText w:val="■"/>
      <w:lvlJc w:val="left"/>
      <w:pPr>
        <w:ind w:left="4320" w:hanging="360"/>
      </w:pPr>
    </w:lvl>
    <w:lvl w:ilvl="6" w:tplc="681C7FA8">
      <w:start w:val="1"/>
      <w:numFmt w:val="bullet"/>
      <w:lvlText w:val="●"/>
      <w:lvlJc w:val="left"/>
      <w:pPr>
        <w:ind w:left="5040" w:hanging="360"/>
      </w:pPr>
    </w:lvl>
    <w:lvl w:ilvl="7" w:tplc="EEEA5032">
      <w:start w:val="1"/>
      <w:numFmt w:val="bullet"/>
      <w:lvlText w:val="●"/>
      <w:lvlJc w:val="left"/>
      <w:pPr>
        <w:ind w:left="5760" w:hanging="360"/>
      </w:pPr>
    </w:lvl>
    <w:lvl w:ilvl="8" w:tplc="E168CD72">
      <w:start w:val="1"/>
      <w:numFmt w:val="bullet"/>
      <w:lvlText w:val="●"/>
      <w:lvlJc w:val="left"/>
      <w:pPr>
        <w:ind w:left="6480" w:hanging="360"/>
      </w:pPr>
    </w:lvl>
  </w:abstractNum>
  <w:num w:numId="1" w16cid:durableId="854000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FDC"/>
    <w:rsid w:val="0008411C"/>
    <w:rsid w:val="004C1FDC"/>
    <w:rsid w:val="008A3D45"/>
    <w:rsid w:val="0091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F210E-42C8-4EA8-95B1-B53A93A9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Richard</cp:lastModifiedBy>
  <cp:revision>2</cp:revision>
  <dcterms:created xsi:type="dcterms:W3CDTF">2026-04-11T18:30:00Z</dcterms:created>
  <dcterms:modified xsi:type="dcterms:W3CDTF">2026-04-11T18:30:00Z</dcterms:modified>
</cp:coreProperties>
</file>